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1F7" w:rsidRDefault="008E71F7" w:rsidP="00DD119F">
      <w:pPr>
        <w:rPr>
          <w:szCs w:val="36"/>
        </w:rPr>
      </w:pPr>
    </w:p>
    <w:p w:rsidR="00C20F49" w:rsidRPr="00DE361F" w:rsidRDefault="008E71F7" w:rsidP="00C20F49">
      <w:pPr>
        <w:rPr>
          <w:szCs w:val="36"/>
        </w:rPr>
      </w:pPr>
      <w:r>
        <w:rPr>
          <w:szCs w:val="36"/>
        </w:rPr>
        <w:t xml:space="preserve">             </w:t>
      </w:r>
      <w:r>
        <w:rPr>
          <w:szCs w:val="36"/>
        </w:rPr>
        <w:tab/>
      </w:r>
      <w:r>
        <w:rPr>
          <w:szCs w:val="36"/>
        </w:rPr>
        <w:tab/>
      </w:r>
      <w:r>
        <w:rPr>
          <w:szCs w:val="36"/>
        </w:rPr>
        <w:tab/>
      </w:r>
      <w:r>
        <w:rPr>
          <w:szCs w:val="36"/>
        </w:rPr>
        <w:tab/>
        <w:t xml:space="preserve">           </w:t>
      </w:r>
    </w:p>
    <w:p w:rsidR="004954E5" w:rsidRPr="00ED2CFC" w:rsidRDefault="00ED2CFC" w:rsidP="004954E5">
      <w:pPr>
        <w:jc w:val="both"/>
        <w:rPr>
          <w:b/>
          <w:sz w:val="32"/>
          <w:szCs w:val="32"/>
        </w:rPr>
      </w:pPr>
      <w:r>
        <w:rPr>
          <w:b/>
          <w:sz w:val="32"/>
          <w:szCs w:val="32"/>
        </w:rPr>
        <w:t>SUKOB INTERESA U ZAKONU O JAVNOJ NABAVI</w:t>
      </w:r>
    </w:p>
    <w:p w:rsidR="00DE361F" w:rsidRPr="0079675B" w:rsidRDefault="00DE361F" w:rsidP="00DE361F">
      <w:pPr>
        <w:pStyle w:val="NormalWeb"/>
        <w:spacing w:line="276" w:lineRule="auto"/>
        <w:jc w:val="both"/>
        <w:rPr>
          <w:rFonts w:ascii="Cambria" w:hAnsi="Cambria" w:cs="Arial"/>
          <w:sz w:val="28"/>
          <w:szCs w:val="28"/>
        </w:rPr>
      </w:pPr>
      <w:r w:rsidRPr="0079675B">
        <w:rPr>
          <w:rFonts w:ascii="Cambria" w:hAnsi="Cambria" w:cs="Arial"/>
          <w:sz w:val="28"/>
          <w:szCs w:val="28"/>
        </w:rPr>
        <w:t xml:space="preserve">Temeljem članka </w:t>
      </w:r>
      <w:r w:rsidR="00324C88" w:rsidRPr="0079675B">
        <w:rPr>
          <w:rFonts w:ascii="Cambria" w:hAnsi="Cambria" w:cs="Arial"/>
          <w:sz w:val="28"/>
          <w:szCs w:val="28"/>
        </w:rPr>
        <w:t>76</w:t>
      </w:r>
      <w:r w:rsidRPr="0079675B">
        <w:rPr>
          <w:rFonts w:ascii="Cambria" w:hAnsi="Cambria" w:cs="Arial"/>
          <w:sz w:val="28"/>
          <w:szCs w:val="28"/>
        </w:rPr>
        <w:t xml:space="preserve">. Zakona o javnoj nabavi („Narodne novine“ broj: </w:t>
      </w:r>
      <w:r w:rsidR="00324C88" w:rsidRPr="0079675B">
        <w:rPr>
          <w:rFonts w:ascii="Cambria" w:hAnsi="Cambria" w:cs="Arial"/>
          <w:sz w:val="28"/>
          <w:szCs w:val="28"/>
        </w:rPr>
        <w:t>120/16</w:t>
      </w:r>
      <w:r w:rsidRPr="0079675B">
        <w:rPr>
          <w:rFonts w:ascii="Cambria" w:hAnsi="Cambria" w:cs="Arial"/>
          <w:sz w:val="28"/>
          <w:szCs w:val="28"/>
        </w:rPr>
        <w:t>),  Gradsk</w:t>
      </w:r>
      <w:r w:rsidR="00456688">
        <w:rPr>
          <w:rFonts w:ascii="Cambria" w:hAnsi="Cambria" w:cs="Arial"/>
          <w:sz w:val="28"/>
          <w:szCs w:val="28"/>
        </w:rPr>
        <w:t>a knjižnica</w:t>
      </w:r>
      <w:r w:rsidRPr="0079675B">
        <w:rPr>
          <w:rFonts w:ascii="Cambria" w:hAnsi="Cambria" w:cs="Arial"/>
          <w:sz w:val="28"/>
          <w:szCs w:val="28"/>
        </w:rPr>
        <w:t xml:space="preserve"> Rijeka</w:t>
      </w:r>
      <w:r w:rsidR="00470DFE">
        <w:rPr>
          <w:rFonts w:ascii="Cambria" w:hAnsi="Cambria" w:cs="Arial"/>
          <w:sz w:val="28"/>
          <w:szCs w:val="28"/>
        </w:rPr>
        <w:t>, M.Gupca 23, Rijeka</w:t>
      </w:r>
      <w:r w:rsidR="00ED2CFC" w:rsidRPr="0079675B">
        <w:rPr>
          <w:rFonts w:ascii="Cambria" w:hAnsi="Cambria" w:cs="Arial"/>
          <w:sz w:val="28"/>
          <w:szCs w:val="28"/>
        </w:rPr>
        <w:t xml:space="preserve"> kao javni naručitelj objavljuje da nema gospodarskih subjekata s kojima su predstavnici naručitelja -  ravnatelj</w:t>
      </w:r>
      <w:bookmarkStart w:id="0" w:name="_GoBack"/>
      <w:bookmarkEnd w:id="0"/>
      <w:r w:rsidR="00ED2CFC" w:rsidRPr="0079675B">
        <w:rPr>
          <w:rFonts w:ascii="Cambria" w:hAnsi="Cambria" w:cs="Arial"/>
          <w:sz w:val="28"/>
          <w:szCs w:val="28"/>
        </w:rPr>
        <w:t xml:space="preserve"> </w:t>
      </w:r>
      <w:r w:rsidRPr="0079675B">
        <w:rPr>
          <w:rFonts w:ascii="Cambria" w:hAnsi="Cambria" w:cs="Arial"/>
          <w:sz w:val="28"/>
          <w:szCs w:val="28"/>
        </w:rPr>
        <w:t xml:space="preserve"> i članovi</w:t>
      </w:r>
      <w:r w:rsidR="00456688">
        <w:rPr>
          <w:rFonts w:ascii="Cambria" w:hAnsi="Cambria" w:cs="Arial"/>
          <w:sz w:val="28"/>
          <w:szCs w:val="28"/>
        </w:rPr>
        <w:t xml:space="preserve"> Upravnog</w:t>
      </w:r>
      <w:r w:rsidRPr="0079675B">
        <w:rPr>
          <w:rFonts w:ascii="Cambria" w:hAnsi="Cambria" w:cs="Arial"/>
          <w:sz w:val="28"/>
          <w:szCs w:val="28"/>
        </w:rPr>
        <w:t xml:space="preserve"> vijeća  </w:t>
      </w:r>
      <w:r w:rsidR="00ED2CFC" w:rsidRPr="0079675B">
        <w:rPr>
          <w:rFonts w:ascii="Cambria" w:hAnsi="Cambria" w:cs="Arial"/>
          <w:sz w:val="28"/>
          <w:szCs w:val="28"/>
        </w:rPr>
        <w:t>te</w:t>
      </w:r>
      <w:r w:rsidRPr="0079675B">
        <w:rPr>
          <w:rFonts w:ascii="Cambria" w:hAnsi="Cambria" w:cs="Arial"/>
          <w:sz w:val="28"/>
          <w:szCs w:val="28"/>
        </w:rPr>
        <w:t xml:space="preserve"> s njima povezane osobe  u sukobu interesa</w:t>
      </w:r>
      <w:r w:rsidR="00ED2CFC" w:rsidRPr="0079675B">
        <w:rPr>
          <w:rFonts w:ascii="Cambria" w:hAnsi="Cambria" w:cs="Arial"/>
          <w:sz w:val="28"/>
          <w:szCs w:val="28"/>
        </w:rPr>
        <w:t>.</w:t>
      </w:r>
      <w:r w:rsidRPr="0079675B">
        <w:rPr>
          <w:rFonts w:ascii="Cambria" w:hAnsi="Cambria" w:cs="Arial"/>
          <w:sz w:val="28"/>
          <w:szCs w:val="28"/>
        </w:rPr>
        <w:t xml:space="preserve"> </w:t>
      </w:r>
    </w:p>
    <w:p w:rsidR="00EE6F2F" w:rsidRDefault="00EE6F2F" w:rsidP="00EE6F2F">
      <w:pPr>
        <w:rPr>
          <w:sz w:val="28"/>
          <w:szCs w:val="28"/>
        </w:rPr>
      </w:pPr>
    </w:p>
    <w:p w:rsidR="0054573E" w:rsidRDefault="00ED2CFC" w:rsidP="00EE6F2F">
      <w:pPr>
        <w:rPr>
          <w:sz w:val="28"/>
          <w:szCs w:val="28"/>
        </w:rPr>
      </w:pPr>
      <w:r>
        <w:rPr>
          <w:sz w:val="28"/>
          <w:szCs w:val="28"/>
        </w:rPr>
        <w:t>Sprječavanje sukoba interesa obrađeno je u Poglavlju 8, člancima 7</w:t>
      </w:r>
      <w:r w:rsidR="00EC49D7">
        <w:rPr>
          <w:sz w:val="28"/>
          <w:szCs w:val="28"/>
        </w:rPr>
        <w:t>5</w:t>
      </w:r>
      <w:r>
        <w:rPr>
          <w:sz w:val="28"/>
          <w:szCs w:val="28"/>
        </w:rPr>
        <w:t>. – 80</w:t>
      </w:r>
      <w:r w:rsidR="0079675B">
        <w:rPr>
          <w:sz w:val="28"/>
          <w:szCs w:val="28"/>
        </w:rPr>
        <w:t>.</w:t>
      </w:r>
      <w:r>
        <w:rPr>
          <w:sz w:val="28"/>
          <w:szCs w:val="28"/>
        </w:rPr>
        <w:t xml:space="preserve"> Zakona o javnoj nabavi (NN 120/16)</w:t>
      </w:r>
      <w:r w:rsidR="00B77F98">
        <w:rPr>
          <w:sz w:val="28"/>
          <w:szCs w:val="28"/>
        </w:rPr>
        <w:t>.</w:t>
      </w:r>
    </w:p>
    <w:p w:rsidR="00EC49D7" w:rsidRDefault="00EC49D7" w:rsidP="00EC49D7">
      <w:pPr>
        <w:pStyle w:val="Heading4"/>
      </w:pPr>
      <w:bookmarkStart w:id="1" w:name="_Toc470893895"/>
      <w:r>
        <w:t>POGLAVLJE 8.   SUKOB INTERESA</w:t>
      </w:r>
      <w:bookmarkEnd w:id="1"/>
    </w:p>
    <w:p w:rsidR="00EC49D7" w:rsidRDefault="00EC49D7" w:rsidP="00EC49D7">
      <w:pPr>
        <w:spacing w:beforeLines="30" w:before="72" w:afterLines="30" w:after="72"/>
        <w:jc w:val="center"/>
        <w:textAlignment w:val="baseline"/>
        <w:rPr>
          <w:color w:val="231F20"/>
          <w:sz w:val="20"/>
          <w:szCs w:val="20"/>
        </w:rPr>
      </w:pPr>
      <w:r>
        <w:rPr>
          <w:color w:val="231F20"/>
          <w:sz w:val="20"/>
          <w:szCs w:val="20"/>
        </w:rPr>
        <w:t>Članak 75.</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Naručitelj je obvezan poduzeti prikladne mjere da učinkovito spriječi, prepozna i ukloni sukobe interesa u vezi s postupkom javne nabave kako bi se izbjeglo narušavanje tržišnog natjecanja i osiguralo jednako postupanje prema svim gospodarskim subjektima.</w:t>
      </w:r>
    </w:p>
    <w:p w:rsidR="00EC49D7" w:rsidRDefault="00EC49D7" w:rsidP="00EC49D7">
      <w:pPr>
        <w:spacing w:beforeLines="30" w:before="72" w:afterLines="30" w:after="72"/>
        <w:jc w:val="center"/>
        <w:textAlignment w:val="baseline"/>
        <w:rPr>
          <w:color w:val="231F20"/>
          <w:sz w:val="20"/>
          <w:szCs w:val="20"/>
        </w:rPr>
      </w:pPr>
      <w:r>
        <w:rPr>
          <w:color w:val="231F20"/>
          <w:sz w:val="20"/>
          <w:szCs w:val="20"/>
        </w:rPr>
        <w:t>Članak 76.</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(1) Sukob interesa između naručitelja i gospodarskog subjekta obuhvaća situacije kada predstavnici naručitelja ili pružatelja usluga službe nabave koji djeluje u ime naručitelja,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1. ako predstavnik naručitelja istodobno obavlja upravljačke poslove u gospodarskom subjektu, ili</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2. ako je predstavnik naručitelja vlasnik poslovnog udjela, dionica odnosno drugih prava na temelju kojih sudjeluje u upravljanju odnosno u kapitalu toga gospodarskog subjekta s više od 0,5 %.</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(2) Predstavnikom naručitelja u smislu ovoga članka smatra se:</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1. čelnik te član upravnog, upravljačkog i nadzornog tijela naručitelja</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2. član stručnog povjerenstva za javnu nabavu</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3. druga osoba koja je uključena u provedbu ili koja može utjecati na odlučivanje naručitelja u postupku javne nabave, i</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4. osobe iz točaka 1., 2. i 3. ovoga stavka kod pružatelja usluga nabave koji djeluju u ime naručitelja.</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(3) Gospodarskim subjektom iz stavka 1. ovoga članka smatra se ponuditelj, član zajednice i podugovaratelj.</w:t>
      </w:r>
    </w:p>
    <w:p w:rsidR="00EC49D7" w:rsidRDefault="00EC49D7" w:rsidP="00EC49D7">
      <w:pPr>
        <w:spacing w:beforeLines="30" w:before="72" w:afterLines="30" w:after="72"/>
        <w:jc w:val="center"/>
        <w:textAlignment w:val="baseline"/>
        <w:rPr>
          <w:color w:val="231F20"/>
          <w:sz w:val="20"/>
          <w:szCs w:val="20"/>
        </w:rPr>
      </w:pPr>
      <w:r>
        <w:rPr>
          <w:color w:val="231F20"/>
          <w:sz w:val="20"/>
          <w:szCs w:val="20"/>
        </w:rPr>
        <w:t>Članak 77.</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(1) Odredba članka 76. stavka 1. ovoga Zakona primjenjuje se na odgovarajući način na srodnike po krvi u pravoj liniji ili u pobočnoj liniji do četvrtog stupnja, srodnike po tazbini do drugog stupnja, bračnog ili izvanbračnog druga, bez obzira na to je li brak prestao, te posvojitelje i posvojenike (u daljnjem tekstu: povezane osobe) predstavnika naručitelja iz članka 76. stavka 2. točke 1. ovoga Zakona.</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(2) Iznimno, sukob interesa ne postoji ako je povezana osoba predstavnika naručitelja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p w:rsidR="00EC49D7" w:rsidRDefault="00EC49D7" w:rsidP="00EC49D7">
      <w:pPr>
        <w:spacing w:beforeLines="30" w:before="72" w:afterLines="30" w:after="72"/>
        <w:jc w:val="center"/>
        <w:textAlignment w:val="baseline"/>
        <w:rPr>
          <w:color w:val="231F20"/>
          <w:sz w:val="20"/>
          <w:szCs w:val="20"/>
        </w:rPr>
      </w:pPr>
      <w:r>
        <w:rPr>
          <w:color w:val="231F20"/>
          <w:sz w:val="20"/>
          <w:szCs w:val="20"/>
        </w:rPr>
        <w:t>Članak 78.</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Prijenos udjela u vlasništvu na drugu osobu ili posebno tijelo (povjerenika) sukladno posebnim propisima o sprječavanju sukoba interesa ne utječe na sukob interesa u smislu članka 76. ovoga Zakona.</w:t>
      </w:r>
    </w:p>
    <w:p w:rsidR="009322C4" w:rsidRDefault="009322C4" w:rsidP="00EC49D7">
      <w:pPr>
        <w:spacing w:beforeLines="30" w:before="72" w:afterLines="30" w:after="72"/>
        <w:jc w:val="center"/>
        <w:textAlignment w:val="baseline"/>
        <w:rPr>
          <w:color w:val="231F20"/>
          <w:sz w:val="20"/>
          <w:szCs w:val="20"/>
        </w:rPr>
      </w:pPr>
    </w:p>
    <w:p w:rsidR="009322C4" w:rsidRDefault="009322C4" w:rsidP="00EC49D7">
      <w:pPr>
        <w:spacing w:beforeLines="30" w:before="72" w:afterLines="30" w:after="72"/>
        <w:jc w:val="center"/>
        <w:textAlignment w:val="baseline"/>
        <w:rPr>
          <w:color w:val="231F20"/>
          <w:sz w:val="20"/>
          <w:szCs w:val="20"/>
        </w:rPr>
      </w:pPr>
    </w:p>
    <w:p w:rsidR="00EC49D7" w:rsidRDefault="00EC49D7" w:rsidP="00EC49D7">
      <w:pPr>
        <w:spacing w:beforeLines="30" w:before="72" w:afterLines="30" w:after="72"/>
        <w:jc w:val="center"/>
        <w:textAlignment w:val="baseline"/>
        <w:rPr>
          <w:color w:val="231F20"/>
          <w:sz w:val="20"/>
          <w:szCs w:val="20"/>
        </w:rPr>
      </w:pPr>
      <w:r>
        <w:rPr>
          <w:color w:val="231F20"/>
          <w:sz w:val="20"/>
          <w:szCs w:val="20"/>
        </w:rPr>
        <w:lastRenderedPageBreak/>
        <w:t>Članak 79.</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Iznimno od odredbi članaka 76. i 77. ovoga Zakona, sukob interesa ne postoji ako predstavnik naručitelja iz članka 76. stavka 2. točke 1. ovoga Zakona ili s njim povezana osoba iz članka 77. stavka 1. ovoga Zakona obavlja upravljačke poslove u gospodarskom subjektu po položaju, odnosno kao službeni predstavnik nekog naručitelja, a ne kao privatna osoba.</w:t>
      </w:r>
    </w:p>
    <w:p w:rsidR="00EC49D7" w:rsidRDefault="00EC49D7" w:rsidP="00EC49D7">
      <w:pPr>
        <w:spacing w:beforeLines="30" w:before="72" w:afterLines="30" w:after="72"/>
        <w:jc w:val="center"/>
        <w:textAlignment w:val="baseline"/>
        <w:rPr>
          <w:color w:val="231F20"/>
          <w:sz w:val="20"/>
          <w:szCs w:val="20"/>
        </w:rPr>
      </w:pPr>
      <w:r>
        <w:rPr>
          <w:color w:val="231F20"/>
          <w:sz w:val="20"/>
          <w:szCs w:val="20"/>
        </w:rPr>
        <w:t>Članak 80.</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(1) Predstavnici naručitelja obvezni su potpisati izjavu o postojanju ili nepostojanju sukoba interesa te je ažurirati bez odgađanja ako nastupe promjene.</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(2) Naručitelj je obvezan na temelju izjava svojih predstavnika:</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1. na svojim internetskim stranicama objaviti popis gospodarskih subjekata s kojima je predstavnik naručitelja iz članka 76. stavka 2. točke 1. ovoga Zakona ili s njim povezane osobe u sukobu interesa ili obavijest da takvi subjekti ne postoje te ih ažurirati bez odgađanja ako nastupe promjene, i</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2. u dokumentaciji o nabavi za pojedini postupak javne nabave navesti popis gospodarskih subjekata s kojima je predstavnik naručitelja iz članka 76. stavka 2. u sukobu interesa ili navesti da takvi subjekti ne postoje.</w:t>
      </w:r>
    </w:p>
    <w:p w:rsidR="00EC49D7" w:rsidRDefault="00EC49D7" w:rsidP="00EC49D7">
      <w:pPr>
        <w:spacing w:beforeLines="30" w:before="72" w:afterLines="30" w:after="72"/>
        <w:jc w:val="both"/>
        <w:textAlignment w:val="baseline"/>
        <w:rPr>
          <w:color w:val="231F20"/>
          <w:sz w:val="20"/>
          <w:szCs w:val="20"/>
        </w:rPr>
      </w:pPr>
      <w:r>
        <w:rPr>
          <w:color w:val="231F20"/>
          <w:sz w:val="20"/>
          <w:szCs w:val="20"/>
        </w:rPr>
        <w:t>(3) Ako naručitelj nema vlastite internetske stranice, popis je obvezan objaviti na oglasnoj ploči, u službenom glasilu ili ga na drugi način učiniti stalno dostupnim zainteresiranoj javnosti.</w:t>
      </w:r>
    </w:p>
    <w:p w:rsidR="008E71F7" w:rsidRPr="00EE6F2F" w:rsidRDefault="008E71F7" w:rsidP="00EE6F2F">
      <w:pPr>
        <w:rPr>
          <w:sz w:val="28"/>
          <w:szCs w:val="28"/>
        </w:rPr>
      </w:pPr>
      <w:r w:rsidRPr="00EE6F2F">
        <w:rPr>
          <w:sz w:val="28"/>
          <w:szCs w:val="28"/>
        </w:rPr>
        <w:tab/>
      </w:r>
      <w:r w:rsidRPr="00EE6F2F">
        <w:rPr>
          <w:sz w:val="28"/>
          <w:szCs w:val="28"/>
        </w:rPr>
        <w:tab/>
      </w:r>
      <w:r w:rsidRPr="00EE6F2F">
        <w:rPr>
          <w:sz w:val="28"/>
          <w:szCs w:val="28"/>
        </w:rPr>
        <w:tab/>
      </w:r>
    </w:p>
    <w:p w:rsidR="008E71F7" w:rsidRPr="00EE6F2F" w:rsidRDefault="008E71F7" w:rsidP="00DD119F">
      <w:pPr>
        <w:rPr>
          <w:sz w:val="28"/>
          <w:szCs w:val="28"/>
        </w:rPr>
      </w:pPr>
    </w:p>
    <w:p w:rsidR="006275A4" w:rsidRDefault="006275A4" w:rsidP="00DD119F">
      <w:pPr>
        <w:rPr>
          <w:szCs w:val="36"/>
        </w:rPr>
      </w:pPr>
    </w:p>
    <w:p w:rsidR="006275A4" w:rsidRDefault="006275A4" w:rsidP="00DD119F">
      <w:pPr>
        <w:rPr>
          <w:szCs w:val="36"/>
        </w:rPr>
      </w:pPr>
    </w:p>
    <w:p w:rsidR="006275A4" w:rsidRDefault="006275A4" w:rsidP="00DD119F">
      <w:pPr>
        <w:rPr>
          <w:szCs w:val="36"/>
        </w:rPr>
      </w:pPr>
    </w:p>
    <w:p w:rsidR="006275A4" w:rsidRDefault="006275A4" w:rsidP="005540A6">
      <w:pPr>
        <w:rPr>
          <w:szCs w:val="36"/>
        </w:rPr>
      </w:pPr>
      <w:r>
        <w:rPr>
          <w:szCs w:val="36"/>
        </w:rPr>
        <w:tab/>
      </w:r>
      <w:r>
        <w:rPr>
          <w:szCs w:val="36"/>
        </w:rPr>
        <w:tab/>
      </w:r>
      <w:r>
        <w:rPr>
          <w:szCs w:val="36"/>
        </w:rPr>
        <w:tab/>
      </w:r>
      <w:r>
        <w:rPr>
          <w:szCs w:val="36"/>
        </w:rPr>
        <w:tab/>
      </w:r>
      <w:r>
        <w:rPr>
          <w:szCs w:val="36"/>
        </w:rPr>
        <w:tab/>
      </w:r>
    </w:p>
    <w:p w:rsidR="00D350DB" w:rsidRDefault="00D350DB" w:rsidP="00DD119F">
      <w:pPr>
        <w:rPr>
          <w:szCs w:val="36"/>
        </w:rPr>
      </w:pPr>
    </w:p>
    <w:sectPr w:rsidR="00D350DB" w:rsidSect="00A04C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10601000101010101"/>
    <w:charset w:val="88"/>
    <w:family w:val="roman"/>
    <w:pitch w:val="variable"/>
    <w:sig w:usb0="00000003" w:usb1="080E0000" w:usb2="00000016" w:usb3="00000000" w:csb0="001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926A9"/>
    <w:multiLevelType w:val="multilevel"/>
    <w:tmpl w:val="D0E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43F35"/>
    <w:multiLevelType w:val="multilevel"/>
    <w:tmpl w:val="0AAA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10484"/>
    <w:multiLevelType w:val="hybridMultilevel"/>
    <w:tmpl w:val="35F200CA"/>
    <w:lvl w:ilvl="0" w:tplc="E0885C7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017A3E"/>
    <w:multiLevelType w:val="multilevel"/>
    <w:tmpl w:val="D136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20C8E"/>
    <w:multiLevelType w:val="hybridMultilevel"/>
    <w:tmpl w:val="99B2A9C2"/>
    <w:lvl w:ilvl="0" w:tplc="1AD83662">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0300FC"/>
    <w:rsid w:val="00020928"/>
    <w:rsid w:val="000300FC"/>
    <w:rsid w:val="00032550"/>
    <w:rsid w:val="00035347"/>
    <w:rsid w:val="000414BD"/>
    <w:rsid w:val="000675E6"/>
    <w:rsid w:val="000C0F8B"/>
    <w:rsid w:val="00112C91"/>
    <w:rsid w:val="00154126"/>
    <w:rsid w:val="00163D1F"/>
    <w:rsid w:val="001D7AC5"/>
    <w:rsid w:val="001E19A6"/>
    <w:rsid w:val="001F1750"/>
    <w:rsid w:val="0020108A"/>
    <w:rsid w:val="002345A0"/>
    <w:rsid w:val="00236407"/>
    <w:rsid w:val="00250416"/>
    <w:rsid w:val="002D6427"/>
    <w:rsid w:val="00324C88"/>
    <w:rsid w:val="0036451B"/>
    <w:rsid w:val="00384C3A"/>
    <w:rsid w:val="0042696D"/>
    <w:rsid w:val="00456688"/>
    <w:rsid w:val="00470DFE"/>
    <w:rsid w:val="004954E5"/>
    <w:rsid w:val="00530E93"/>
    <w:rsid w:val="0054573E"/>
    <w:rsid w:val="005540A6"/>
    <w:rsid w:val="00560DBA"/>
    <w:rsid w:val="00567C89"/>
    <w:rsid w:val="00586D1D"/>
    <w:rsid w:val="005953B3"/>
    <w:rsid w:val="005A417B"/>
    <w:rsid w:val="006275A4"/>
    <w:rsid w:val="007137BA"/>
    <w:rsid w:val="00757A83"/>
    <w:rsid w:val="007708DA"/>
    <w:rsid w:val="00781E72"/>
    <w:rsid w:val="0079675B"/>
    <w:rsid w:val="007970C3"/>
    <w:rsid w:val="007D2106"/>
    <w:rsid w:val="007D53FD"/>
    <w:rsid w:val="008A01BA"/>
    <w:rsid w:val="008A3763"/>
    <w:rsid w:val="008E71F7"/>
    <w:rsid w:val="009322C4"/>
    <w:rsid w:val="009769CF"/>
    <w:rsid w:val="009C29F9"/>
    <w:rsid w:val="00A04C7C"/>
    <w:rsid w:val="00A84C35"/>
    <w:rsid w:val="00A90342"/>
    <w:rsid w:val="00A90A58"/>
    <w:rsid w:val="00B77F98"/>
    <w:rsid w:val="00BB5716"/>
    <w:rsid w:val="00BD3130"/>
    <w:rsid w:val="00C20F49"/>
    <w:rsid w:val="00C26F40"/>
    <w:rsid w:val="00C33725"/>
    <w:rsid w:val="00CC027C"/>
    <w:rsid w:val="00D350DB"/>
    <w:rsid w:val="00DC337F"/>
    <w:rsid w:val="00DD119F"/>
    <w:rsid w:val="00DD30A5"/>
    <w:rsid w:val="00DE361F"/>
    <w:rsid w:val="00E049DE"/>
    <w:rsid w:val="00EC49D7"/>
    <w:rsid w:val="00ED2CFC"/>
    <w:rsid w:val="00EE6F2F"/>
    <w:rsid w:val="00F65DC8"/>
    <w:rsid w:val="00F93E84"/>
    <w:rsid w:val="00FA659B"/>
    <w:rsid w:val="00FB367E"/>
    <w:rsid w:val="00FE5E32"/>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15209"/>
  <w15:docId w15:val="{17167003-B9C7-41CE-8BEB-7FEE3B00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C7C"/>
    <w:rPr>
      <w:sz w:val="24"/>
      <w:szCs w:val="24"/>
      <w:lang w:eastAsia="hr-HR"/>
    </w:rPr>
  </w:style>
  <w:style w:type="paragraph" w:styleId="Heading1">
    <w:name w:val="heading 1"/>
    <w:basedOn w:val="Normal"/>
    <w:qFormat/>
    <w:rsid w:val="000300FC"/>
    <w:pPr>
      <w:spacing w:before="100" w:beforeAutospacing="1" w:after="100" w:afterAutospacing="1"/>
      <w:outlineLvl w:val="0"/>
    </w:pPr>
    <w:rPr>
      <w:b/>
      <w:bCs/>
      <w:kern w:val="36"/>
      <w:sz w:val="48"/>
      <w:szCs w:val="48"/>
    </w:rPr>
  </w:style>
  <w:style w:type="paragraph" w:styleId="Heading2">
    <w:name w:val="heading 2"/>
    <w:basedOn w:val="Normal"/>
    <w:qFormat/>
    <w:rsid w:val="000300FC"/>
    <w:pPr>
      <w:spacing w:before="100" w:beforeAutospacing="1" w:after="100" w:afterAutospacing="1"/>
      <w:outlineLvl w:val="1"/>
    </w:pPr>
    <w:rPr>
      <w:b/>
      <w:bCs/>
      <w:sz w:val="36"/>
      <w:szCs w:val="36"/>
    </w:rPr>
  </w:style>
  <w:style w:type="paragraph" w:styleId="Heading3">
    <w:name w:val="heading 3"/>
    <w:basedOn w:val="Normal"/>
    <w:qFormat/>
    <w:rsid w:val="000300FC"/>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EC49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00FC"/>
    <w:pPr>
      <w:spacing w:before="100" w:beforeAutospacing="1" w:after="100" w:afterAutospacing="1"/>
    </w:pPr>
  </w:style>
  <w:style w:type="paragraph" w:styleId="ListParagraph">
    <w:name w:val="List Paragraph"/>
    <w:basedOn w:val="Normal"/>
    <w:uiPriority w:val="34"/>
    <w:qFormat/>
    <w:rsid w:val="0020108A"/>
    <w:pPr>
      <w:ind w:left="720"/>
      <w:contextualSpacing/>
    </w:pPr>
  </w:style>
  <w:style w:type="character" w:styleId="Hyperlink">
    <w:name w:val="Hyperlink"/>
    <w:basedOn w:val="DefaultParagraphFont"/>
    <w:uiPriority w:val="99"/>
    <w:unhideWhenUsed/>
    <w:rsid w:val="009769CF"/>
    <w:rPr>
      <w:color w:val="0000FF"/>
      <w:u w:val="single"/>
    </w:rPr>
  </w:style>
  <w:style w:type="character" w:customStyle="1" w:styleId="metadataprefix1">
    <w:name w:val="metadataprefix1"/>
    <w:basedOn w:val="DefaultParagraphFont"/>
    <w:rsid w:val="009769CF"/>
    <w:rPr>
      <w:b/>
      <w:bCs/>
    </w:rPr>
  </w:style>
  <w:style w:type="character" w:customStyle="1" w:styleId="summarymark1">
    <w:name w:val="summarymark1"/>
    <w:basedOn w:val="DefaultParagraphFont"/>
    <w:rsid w:val="009769CF"/>
    <w:rPr>
      <w:b/>
      <w:bCs/>
      <w:color w:val="FF0000"/>
    </w:rPr>
  </w:style>
  <w:style w:type="paragraph" w:styleId="BalloonText">
    <w:name w:val="Balloon Text"/>
    <w:basedOn w:val="Normal"/>
    <w:link w:val="BalloonTextChar"/>
    <w:rsid w:val="004954E5"/>
    <w:rPr>
      <w:rFonts w:ascii="Tahoma" w:hAnsi="Tahoma" w:cs="Tahoma"/>
      <w:sz w:val="16"/>
      <w:szCs w:val="16"/>
    </w:rPr>
  </w:style>
  <w:style w:type="character" w:customStyle="1" w:styleId="BalloonTextChar">
    <w:name w:val="Balloon Text Char"/>
    <w:basedOn w:val="DefaultParagraphFont"/>
    <w:link w:val="BalloonText"/>
    <w:rsid w:val="004954E5"/>
    <w:rPr>
      <w:rFonts w:ascii="Tahoma" w:hAnsi="Tahoma" w:cs="Tahoma"/>
      <w:sz w:val="16"/>
      <w:szCs w:val="16"/>
      <w:lang w:eastAsia="hr-HR"/>
    </w:rPr>
  </w:style>
  <w:style w:type="character" w:customStyle="1" w:styleId="Heading4Char">
    <w:name w:val="Heading 4 Char"/>
    <w:basedOn w:val="DefaultParagraphFont"/>
    <w:link w:val="Heading4"/>
    <w:semiHidden/>
    <w:rsid w:val="00EC49D7"/>
    <w:rPr>
      <w:rFonts w:asciiTheme="majorHAnsi" w:eastAsiaTheme="majorEastAsia" w:hAnsiTheme="majorHAnsi" w:cstheme="majorBidi"/>
      <w:b/>
      <w:bCs/>
      <w:i/>
      <w:iCs/>
      <w:color w:val="4F81BD" w:themeColor="accent1"/>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450">
      <w:marLeft w:val="0"/>
      <w:marRight w:val="0"/>
      <w:marTop w:val="180"/>
      <w:marBottom w:val="300"/>
      <w:divBdr>
        <w:top w:val="none" w:sz="0" w:space="0" w:color="auto"/>
        <w:left w:val="none" w:sz="0" w:space="0" w:color="auto"/>
        <w:bottom w:val="none" w:sz="0" w:space="0" w:color="auto"/>
        <w:right w:val="none" w:sz="0" w:space="0" w:color="auto"/>
      </w:divBdr>
    </w:div>
    <w:div w:id="295335048">
      <w:bodyDiv w:val="1"/>
      <w:marLeft w:val="0"/>
      <w:marRight w:val="0"/>
      <w:marTop w:val="0"/>
      <w:marBottom w:val="0"/>
      <w:divBdr>
        <w:top w:val="none" w:sz="0" w:space="0" w:color="auto"/>
        <w:left w:val="none" w:sz="0" w:space="0" w:color="auto"/>
        <w:bottom w:val="none" w:sz="0" w:space="0" w:color="auto"/>
        <w:right w:val="none" w:sz="0" w:space="0" w:color="auto"/>
      </w:divBdr>
    </w:div>
    <w:div w:id="508178541">
      <w:bodyDiv w:val="1"/>
      <w:marLeft w:val="0"/>
      <w:marRight w:val="0"/>
      <w:marTop w:val="0"/>
      <w:marBottom w:val="0"/>
      <w:divBdr>
        <w:top w:val="none" w:sz="0" w:space="0" w:color="auto"/>
        <w:left w:val="none" w:sz="0" w:space="0" w:color="auto"/>
        <w:bottom w:val="none" w:sz="0" w:space="0" w:color="auto"/>
        <w:right w:val="none" w:sz="0" w:space="0" w:color="auto"/>
      </w:divBdr>
    </w:div>
    <w:div w:id="873881165">
      <w:bodyDiv w:val="1"/>
      <w:marLeft w:val="0"/>
      <w:marRight w:val="0"/>
      <w:marTop w:val="0"/>
      <w:marBottom w:val="0"/>
      <w:divBdr>
        <w:top w:val="none" w:sz="0" w:space="0" w:color="auto"/>
        <w:left w:val="none" w:sz="0" w:space="0" w:color="auto"/>
        <w:bottom w:val="none" w:sz="0" w:space="0" w:color="auto"/>
        <w:right w:val="none" w:sz="0" w:space="0" w:color="auto"/>
      </w:divBdr>
    </w:div>
    <w:div w:id="1461537103">
      <w:bodyDiv w:val="1"/>
      <w:marLeft w:val="0"/>
      <w:marRight w:val="0"/>
      <w:marTop w:val="0"/>
      <w:marBottom w:val="0"/>
      <w:divBdr>
        <w:top w:val="none" w:sz="0" w:space="0" w:color="auto"/>
        <w:left w:val="none" w:sz="0" w:space="0" w:color="auto"/>
        <w:bottom w:val="none" w:sz="0" w:space="0" w:color="auto"/>
        <w:right w:val="none" w:sz="0" w:space="0" w:color="auto"/>
      </w:divBdr>
    </w:div>
    <w:div w:id="1581670459">
      <w:marLeft w:val="0"/>
      <w:marRight w:val="0"/>
      <w:marTop w:val="360"/>
      <w:marBottom w:val="0"/>
      <w:divBdr>
        <w:top w:val="single" w:sz="6" w:space="15" w:color="AAAAAA"/>
        <w:left w:val="single" w:sz="6" w:space="15" w:color="AAAAAA"/>
        <w:bottom w:val="single" w:sz="6" w:space="15" w:color="AAAAAA"/>
        <w:right w:val="single" w:sz="6" w:space="15" w:color="AAAAAA"/>
      </w:divBdr>
    </w:div>
    <w:div w:id="1642925754">
      <w:marLeft w:val="0"/>
      <w:marRight w:val="0"/>
      <w:marTop w:val="0"/>
      <w:marBottom w:val="150"/>
      <w:divBdr>
        <w:top w:val="none" w:sz="0" w:space="0" w:color="auto"/>
        <w:left w:val="none" w:sz="0" w:space="0" w:color="auto"/>
        <w:bottom w:val="none" w:sz="0" w:space="0" w:color="auto"/>
        <w:right w:val="none" w:sz="0" w:space="0" w:color="auto"/>
      </w:divBdr>
    </w:div>
    <w:div w:id="1917157317">
      <w:marLeft w:val="0"/>
      <w:marRight w:val="0"/>
      <w:marTop w:val="0"/>
      <w:marBottom w:val="0"/>
      <w:divBdr>
        <w:top w:val="none" w:sz="0" w:space="0" w:color="auto"/>
        <w:left w:val="none" w:sz="0" w:space="0" w:color="auto"/>
        <w:bottom w:val="none" w:sz="0" w:space="0" w:color="auto"/>
        <w:right w:val="none" w:sz="0" w:space="0" w:color="auto"/>
      </w:divBdr>
      <w:divsChild>
        <w:div w:id="34668552">
          <w:marLeft w:val="0"/>
          <w:marRight w:val="0"/>
          <w:marTop w:val="0"/>
          <w:marBottom w:val="360"/>
          <w:divBdr>
            <w:top w:val="none" w:sz="0" w:space="0" w:color="auto"/>
            <w:left w:val="none" w:sz="0" w:space="0" w:color="auto"/>
            <w:bottom w:val="none" w:sz="0" w:space="0" w:color="auto"/>
            <w:right w:val="none" w:sz="0" w:space="0" w:color="auto"/>
          </w:divBdr>
        </w:div>
        <w:div w:id="1922374052">
          <w:marLeft w:val="0"/>
          <w:marRight w:val="0"/>
          <w:marTop w:val="0"/>
          <w:marBottom w:val="360"/>
          <w:divBdr>
            <w:top w:val="none" w:sz="0" w:space="0" w:color="auto"/>
            <w:left w:val="none" w:sz="0" w:space="0" w:color="auto"/>
            <w:bottom w:val="none" w:sz="0" w:space="0" w:color="auto"/>
            <w:right w:val="none" w:sz="0" w:space="0" w:color="auto"/>
          </w:divBdr>
        </w:div>
        <w:div w:id="1118447480">
          <w:marLeft w:val="0"/>
          <w:marRight w:val="0"/>
          <w:marTop w:val="0"/>
          <w:marBottom w:val="360"/>
          <w:divBdr>
            <w:top w:val="none" w:sz="0" w:space="0" w:color="auto"/>
            <w:left w:val="none" w:sz="0" w:space="0" w:color="auto"/>
            <w:bottom w:val="none" w:sz="0" w:space="0" w:color="auto"/>
            <w:right w:val="none" w:sz="0" w:space="0" w:color="auto"/>
          </w:divBdr>
        </w:div>
        <w:div w:id="842670417">
          <w:marLeft w:val="0"/>
          <w:marRight w:val="0"/>
          <w:marTop w:val="0"/>
          <w:marBottom w:val="360"/>
          <w:divBdr>
            <w:top w:val="none" w:sz="0" w:space="0" w:color="auto"/>
            <w:left w:val="none" w:sz="0" w:space="0" w:color="auto"/>
            <w:bottom w:val="none" w:sz="0" w:space="0" w:color="auto"/>
            <w:right w:val="none" w:sz="0" w:space="0" w:color="auto"/>
          </w:divBdr>
        </w:div>
        <w:div w:id="73315842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MINISTARSTVO OBITELJI, BRANITELJA I MEĐUGENERACIJSKE SOLIDARNOSTI</vt:lpstr>
    </vt:vector>
  </TitlesOfParts>
  <Company>vcz</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OBITELJI, BRANITELJA I MEĐUGENERACIJSKE SOLIDARNOSTI</dc:title>
  <dc:subject/>
  <dc:creator>jela</dc:creator>
  <cp:keywords/>
  <cp:lastModifiedBy>Gradska Knjižnica</cp:lastModifiedBy>
  <cp:revision>44</cp:revision>
  <cp:lastPrinted>2014-06-16T10:43:00Z</cp:lastPrinted>
  <dcterms:created xsi:type="dcterms:W3CDTF">2013-10-16T10:05:00Z</dcterms:created>
  <dcterms:modified xsi:type="dcterms:W3CDTF">2017-07-01T09:29:00Z</dcterms:modified>
</cp:coreProperties>
</file>